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6EBF" w14:textId="77777777" w:rsidR="00FD59B8" w:rsidRPr="00EF6E7C" w:rsidRDefault="00FD59B8" w:rsidP="00FD59B8">
      <w:pPr>
        <w:jc w:val="center"/>
        <w:rPr>
          <w:rFonts w:eastAsia="Times New Roman" w:cs="Times New Roman"/>
          <w:color w:val="000000"/>
          <w:kern w:val="36"/>
          <w:lang w:eastAsia="en-GB"/>
          <w14:ligatures w14:val="none"/>
        </w:rPr>
      </w:pPr>
      <w:r w:rsidRPr="00EF6E7C">
        <w:rPr>
          <w:rFonts w:eastAsia="Times New Roman" w:cs="Times New Roman"/>
          <w:color w:val="000000"/>
          <w:kern w:val="36"/>
          <w:lang w:eastAsia="en-GB"/>
          <w14:ligatures w14:val="none"/>
        </w:rPr>
        <w:t>WHITTLESFORD PARISH COUNCIL</w:t>
      </w:r>
    </w:p>
    <w:p w14:paraId="78EA5346" w14:textId="77777777" w:rsidR="00FD59B8" w:rsidRPr="00EF6E7C" w:rsidRDefault="00FD59B8" w:rsidP="00FD59B8">
      <w:pPr>
        <w:jc w:val="center"/>
        <w:rPr>
          <w:rFonts w:eastAsia="Times New Roman" w:cs="Times New Roman"/>
          <w:color w:val="000000"/>
          <w:kern w:val="36"/>
          <w:lang w:eastAsia="en-GB"/>
          <w14:ligatures w14:val="none"/>
        </w:rPr>
      </w:pPr>
    </w:p>
    <w:p w14:paraId="5089A5FB" w14:textId="77777777" w:rsidR="00FD59B8" w:rsidRPr="00EF6E7C" w:rsidRDefault="00FD59B8" w:rsidP="00FD59B8">
      <w:pPr>
        <w:jc w:val="center"/>
        <w:rPr>
          <w:rFonts w:eastAsia="Times New Roman" w:cs="Times New Roman"/>
          <w:color w:val="000000"/>
          <w:kern w:val="36"/>
          <w:lang w:eastAsia="en-GB"/>
          <w14:ligatures w14:val="none"/>
        </w:rPr>
      </w:pPr>
      <w:r w:rsidRPr="00EF6E7C">
        <w:rPr>
          <w:rFonts w:eastAsia="Times New Roman" w:cs="Times New Roman"/>
          <w:color w:val="000000"/>
          <w:kern w:val="36"/>
          <w:lang w:eastAsia="en-GB"/>
          <w14:ligatures w14:val="none"/>
        </w:rPr>
        <w:t>RESERVES POLICY</w:t>
      </w:r>
      <w:r>
        <w:rPr>
          <w:rFonts w:eastAsia="Times New Roman" w:cs="Times New Roman"/>
          <w:color w:val="000000"/>
          <w:kern w:val="36"/>
          <w:lang w:eastAsia="en-GB"/>
          <w14:ligatures w14:val="none"/>
        </w:rPr>
        <w:t xml:space="preserve"> </w:t>
      </w:r>
    </w:p>
    <w:p w14:paraId="4BB16A45" w14:textId="77777777" w:rsidR="00FD59B8" w:rsidRPr="00EF6E7C" w:rsidRDefault="00FD59B8" w:rsidP="00FD59B8">
      <w:pPr>
        <w:rPr>
          <w:rFonts w:eastAsia="Times New Roman" w:cs="Times New Roman"/>
          <w:color w:val="000000"/>
          <w:kern w:val="36"/>
          <w:lang w:eastAsia="en-GB"/>
          <w14:ligatures w14:val="none"/>
        </w:rPr>
      </w:pPr>
    </w:p>
    <w:p w14:paraId="7046BBF8" w14:textId="77777777" w:rsidR="00FD59B8" w:rsidRPr="00EF6E7C" w:rsidRDefault="00FD59B8" w:rsidP="00FD59B8">
      <w:pPr>
        <w:rPr>
          <w:rFonts w:eastAsia="Times New Roman" w:cs="Times New Roman"/>
          <w:color w:val="000000"/>
          <w:kern w:val="36"/>
          <w:lang w:eastAsia="en-GB"/>
          <w14:ligatures w14:val="none"/>
        </w:rPr>
      </w:pPr>
      <w:r w:rsidRPr="00EF6E7C">
        <w:rPr>
          <w:rFonts w:eastAsia="Times New Roman" w:cs="Times New Roman"/>
          <w:color w:val="000000"/>
          <w:kern w:val="36"/>
          <w:lang w:eastAsia="en-GB"/>
          <w14:ligatures w14:val="none"/>
        </w:rPr>
        <w:t xml:space="preserve">Adopted: </w:t>
      </w:r>
      <w:r>
        <w:rPr>
          <w:rFonts w:eastAsia="Times New Roman" w:cs="Times New Roman"/>
          <w:color w:val="000000"/>
          <w:kern w:val="36"/>
          <w:lang w:eastAsia="en-GB"/>
          <w14:ligatures w14:val="none"/>
        </w:rPr>
        <w:t>Parish Council Meeting of 9</w:t>
      </w:r>
      <w:r w:rsidRPr="00BA05A1">
        <w:rPr>
          <w:rFonts w:eastAsia="Times New Roman" w:cs="Times New Roman"/>
          <w:color w:val="000000"/>
          <w:kern w:val="36"/>
          <w:vertAlign w:val="superscript"/>
          <w:lang w:eastAsia="en-GB"/>
          <w14:ligatures w14:val="none"/>
        </w:rPr>
        <w:t>th</w:t>
      </w:r>
      <w:r>
        <w:rPr>
          <w:rFonts w:eastAsia="Times New Roman" w:cs="Times New Roman"/>
          <w:color w:val="000000"/>
          <w:kern w:val="36"/>
          <w:lang w:eastAsia="en-GB"/>
          <w14:ligatures w14:val="none"/>
        </w:rPr>
        <w:t xml:space="preserve"> June 2026</w:t>
      </w:r>
    </w:p>
    <w:p w14:paraId="64A6104E" w14:textId="77777777" w:rsidR="00FD59B8" w:rsidRPr="00EF6E7C" w:rsidRDefault="00FD59B8" w:rsidP="00FD59B8">
      <w:pPr>
        <w:rPr>
          <w:rFonts w:eastAsia="Times New Roman" w:cs="Times New Roman"/>
          <w:color w:val="000000"/>
          <w:kern w:val="36"/>
          <w:lang w:eastAsia="en-GB"/>
          <w14:ligatures w14:val="none"/>
        </w:rPr>
      </w:pPr>
      <w:r w:rsidRPr="00EF6E7C">
        <w:rPr>
          <w:rFonts w:eastAsia="Times New Roman" w:cs="Times New Roman"/>
          <w:color w:val="000000"/>
          <w:kern w:val="36"/>
          <w:lang w:eastAsia="en-GB"/>
          <w14:ligatures w14:val="none"/>
        </w:rPr>
        <w:t xml:space="preserve">Review due: </w:t>
      </w:r>
      <w:r>
        <w:rPr>
          <w:rFonts w:eastAsia="Times New Roman" w:cs="Times New Roman"/>
          <w:color w:val="000000"/>
          <w:kern w:val="36"/>
          <w:lang w:eastAsia="en-GB"/>
          <w14:ligatures w14:val="none"/>
        </w:rPr>
        <w:t>9</w:t>
      </w:r>
      <w:r w:rsidRPr="00BA05A1">
        <w:rPr>
          <w:rFonts w:eastAsia="Times New Roman" w:cs="Times New Roman"/>
          <w:color w:val="000000"/>
          <w:kern w:val="36"/>
          <w:vertAlign w:val="superscript"/>
          <w:lang w:eastAsia="en-GB"/>
          <w14:ligatures w14:val="none"/>
        </w:rPr>
        <w:t>th</w:t>
      </w:r>
      <w:r>
        <w:rPr>
          <w:rFonts w:eastAsia="Times New Roman" w:cs="Times New Roman"/>
          <w:color w:val="000000"/>
          <w:kern w:val="36"/>
          <w:lang w:eastAsia="en-GB"/>
          <w14:ligatures w14:val="none"/>
        </w:rPr>
        <w:t xml:space="preserve"> May 2028</w:t>
      </w:r>
    </w:p>
    <w:p w14:paraId="51CC59E0" w14:textId="77777777" w:rsidR="00FD59B8" w:rsidRPr="00EF6E7C" w:rsidRDefault="00FD59B8" w:rsidP="00FD59B8">
      <w:pPr>
        <w:rPr>
          <w:rFonts w:eastAsia="Times New Roman" w:cs="Times New Roman"/>
          <w:color w:val="000000"/>
          <w:kern w:val="36"/>
          <w:lang w:eastAsia="en-GB"/>
          <w14:ligatures w14:val="none"/>
        </w:rPr>
      </w:pPr>
    </w:p>
    <w:p w14:paraId="27A0C28A" w14:textId="77777777" w:rsidR="00FD59B8" w:rsidRPr="00EF6E7C" w:rsidRDefault="00FD59B8" w:rsidP="00FD59B8">
      <w:pPr>
        <w:rPr>
          <w:rFonts w:eastAsia="Times New Roman" w:cs="Times New Roman"/>
          <w:b/>
          <w:bCs/>
          <w:color w:val="000000"/>
          <w:kern w:val="36"/>
          <w:lang w:eastAsia="en-GB"/>
          <w14:ligatures w14:val="none"/>
        </w:rPr>
      </w:pPr>
      <w:r w:rsidRPr="00EF6E7C">
        <w:rPr>
          <w:rFonts w:eastAsia="Times New Roman" w:cs="Times New Roman"/>
          <w:b/>
          <w:bCs/>
          <w:color w:val="000000"/>
          <w:kern w:val="36"/>
          <w:lang w:eastAsia="en-GB"/>
          <w14:ligatures w14:val="none"/>
        </w:rPr>
        <w:t>1. Context and Purpose</w:t>
      </w:r>
    </w:p>
    <w:p w14:paraId="5D53EBA4" w14:textId="77777777" w:rsidR="00FD59B8" w:rsidRPr="00EF6E7C" w:rsidRDefault="00FD59B8" w:rsidP="00FD59B8">
      <w:pPr>
        <w:rPr>
          <w:rFonts w:eastAsia="Times New Roman" w:cs="Times New Roman"/>
          <w:color w:val="000000"/>
          <w:kern w:val="36"/>
          <w:lang w:eastAsia="en-GB"/>
          <w14:ligatures w14:val="none"/>
        </w:rPr>
      </w:pPr>
    </w:p>
    <w:p w14:paraId="7783E5AA" w14:textId="77777777" w:rsidR="00FD59B8" w:rsidRPr="00EF6E7C" w:rsidRDefault="00FD59B8" w:rsidP="00FD59B8">
      <w:pPr>
        <w:rPr>
          <w:rFonts w:eastAsia="Times New Roman" w:cs="Times New Roman"/>
          <w:color w:val="000000"/>
          <w:kern w:val="36"/>
          <w:lang w:eastAsia="en-GB"/>
          <w14:ligatures w14:val="none"/>
        </w:rPr>
      </w:pPr>
      <w:r w:rsidRPr="00EF6E7C">
        <w:rPr>
          <w:rFonts w:eastAsia="Times New Roman" w:cs="Times New Roman"/>
          <w:color w:val="000000"/>
          <w:kern w:val="36"/>
          <w:lang w:eastAsia="en-GB"/>
          <w14:ligatures w14:val="none"/>
        </w:rPr>
        <w:t>Whittlesford Parish Council (</w:t>
      </w:r>
      <w:r>
        <w:rPr>
          <w:rFonts w:eastAsia="Times New Roman" w:cs="Times New Roman"/>
          <w:color w:val="000000"/>
          <w:kern w:val="36"/>
          <w:lang w:eastAsia="en-GB"/>
          <w14:ligatures w14:val="none"/>
        </w:rPr>
        <w:t>“the Council</w:t>
      </w:r>
      <w:r w:rsidRPr="00EF6E7C">
        <w:rPr>
          <w:rFonts w:eastAsia="Times New Roman" w:cs="Times New Roman"/>
          <w:color w:val="000000"/>
          <w:kern w:val="36"/>
          <w:lang w:eastAsia="en-GB"/>
          <w14:ligatures w14:val="none"/>
        </w:rPr>
        <w:t>”) maintains financial reserves to support effective financial management, ensure continuity of operations, and</w:t>
      </w:r>
      <w:r>
        <w:rPr>
          <w:rFonts w:eastAsia="Times New Roman" w:cs="Times New Roman"/>
          <w:color w:val="000000"/>
          <w:kern w:val="36"/>
          <w:lang w:eastAsia="en-GB"/>
          <w14:ligatures w14:val="none"/>
        </w:rPr>
        <w:t xml:space="preserve"> to </w:t>
      </w:r>
      <w:r w:rsidRPr="00EF6E7C">
        <w:rPr>
          <w:rFonts w:eastAsia="Times New Roman" w:cs="Times New Roman"/>
          <w:color w:val="000000"/>
          <w:kern w:val="36"/>
          <w:lang w:eastAsia="en-GB"/>
          <w14:ligatures w14:val="none"/>
        </w:rPr>
        <w:t>enable the Council to plan responsibly for future expenditure and liabilities. Appropriate reserves provide stability to the Council’s finances, protect against unforeseen events</w:t>
      </w:r>
      <w:r>
        <w:rPr>
          <w:rFonts w:eastAsia="Times New Roman" w:cs="Times New Roman"/>
          <w:color w:val="000000"/>
          <w:kern w:val="36"/>
          <w:lang w:eastAsia="en-GB"/>
          <w14:ligatures w14:val="none"/>
        </w:rPr>
        <w:t>,</w:t>
      </w:r>
      <w:r w:rsidRPr="00EF6E7C">
        <w:t xml:space="preserve"> </w:t>
      </w:r>
      <w:r w:rsidRPr="00EF6E7C">
        <w:rPr>
          <w:rFonts w:eastAsia="Times New Roman" w:cs="Times New Roman"/>
          <w:color w:val="000000"/>
          <w:kern w:val="36"/>
          <w:lang w:eastAsia="en-GB"/>
          <w14:ligatures w14:val="none"/>
        </w:rPr>
        <w:t>unexpected inflation, unusual circumstances, and allow the Council to manage larger projects and asset maintenance requirements without causing unnecessary fluctuations in the parish precept.</w:t>
      </w:r>
    </w:p>
    <w:p w14:paraId="1A0EAAF6" w14:textId="77777777" w:rsidR="00FD59B8" w:rsidRPr="00EF6E7C" w:rsidRDefault="00FD59B8" w:rsidP="00FD59B8">
      <w:pPr>
        <w:rPr>
          <w:rFonts w:eastAsia="Times New Roman" w:cs="Times New Roman"/>
          <w:color w:val="000000"/>
          <w:kern w:val="36"/>
          <w:lang w:eastAsia="en-GB"/>
          <w14:ligatures w14:val="none"/>
        </w:rPr>
      </w:pPr>
    </w:p>
    <w:p w14:paraId="3FC1711D" w14:textId="77777777" w:rsidR="00FD59B8" w:rsidRPr="00EF6E7C" w:rsidRDefault="00FD59B8" w:rsidP="00FD59B8">
      <w:pPr>
        <w:rPr>
          <w:rFonts w:eastAsia="Times New Roman" w:cs="Times New Roman"/>
          <w:color w:val="000000"/>
          <w:kern w:val="36"/>
          <w:lang w:eastAsia="en-GB"/>
          <w14:ligatures w14:val="none"/>
        </w:rPr>
      </w:pPr>
      <w:r w:rsidRPr="00EF6E7C">
        <w:rPr>
          <w:rFonts w:eastAsia="Times New Roman" w:cs="Times New Roman"/>
          <w:color w:val="000000"/>
          <w:kern w:val="36"/>
          <w:lang w:eastAsia="en-GB"/>
          <w14:ligatures w14:val="none"/>
        </w:rPr>
        <w:t xml:space="preserve">This policy sets out how the Council will establish, maintain and review reserves in accordance with the Joint Panel on Accountability and Governance (JPAG) Practitioners’ Guide, the Council’s Financial Regulations, and recognised proper practices for </w:t>
      </w:r>
      <w:r>
        <w:rPr>
          <w:rFonts w:eastAsia="Times New Roman" w:cs="Times New Roman"/>
          <w:color w:val="000000"/>
          <w:kern w:val="36"/>
          <w:lang w:eastAsia="en-GB"/>
          <w14:ligatures w14:val="none"/>
        </w:rPr>
        <w:t xml:space="preserve">smaller authorities such as </w:t>
      </w:r>
      <w:r w:rsidRPr="00EF6E7C">
        <w:rPr>
          <w:rFonts w:eastAsia="Times New Roman" w:cs="Times New Roman"/>
          <w:color w:val="000000"/>
          <w:kern w:val="36"/>
          <w:lang w:eastAsia="en-GB"/>
          <w14:ligatures w14:val="none"/>
        </w:rPr>
        <w:t>parish councils.</w:t>
      </w:r>
    </w:p>
    <w:p w14:paraId="7B1D45E4" w14:textId="77777777" w:rsidR="00FD59B8" w:rsidRPr="00EF6E7C" w:rsidRDefault="00FD59B8" w:rsidP="00FD59B8">
      <w:pPr>
        <w:rPr>
          <w:rFonts w:eastAsia="Times New Roman" w:cs="Times New Roman"/>
          <w:color w:val="000000"/>
          <w:kern w:val="36"/>
          <w:lang w:eastAsia="en-GB"/>
          <w14:ligatures w14:val="none"/>
        </w:rPr>
      </w:pPr>
    </w:p>
    <w:p w14:paraId="2D0F2C4C" w14:textId="77777777" w:rsidR="00FD59B8" w:rsidRPr="000D1E0F" w:rsidRDefault="00FD59B8" w:rsidP="00FD59B8">
      <w:pPr>
        <w:rPr>
          <w:rFonts w:eastAsia="Times New Roman" w:cs="Times New Roman"/>
          <w:b/>
          <w:bCs/>
          <w:color w:val="000000"/>
          <w:kern w:val="36"/>
          <w:lang w:eastAsia="en-GB"/>
          <w14:ligatures w14:val="none"/>
        </w:rPr>
      </w:pPr>
      <w:r w:rsidRPr="000D1E0F">
        <w:rPr>
          <w:rFonts w:eastAsia="Times New Roman" w:cs="Times New Roman"/>
          <w:b/>
          <w:bCs/>
          <w:color w:val="000000"/>
          <w:kern w:val="36"/>
          <w:lang w:eastAsia="en-GB"/>
          <w14:ligatures w14:val="none"/>
        </w:rPr>
        <w:t>2. Types of Reserve</w:t>
      </w:r>
    </w:p>
    <w:p w14:paraId="3A232BD0" w14:textId="77777777" w:rsidR="00FD59B8" w:rsidRPr="000D1E0F" w:rsidRDefault="00FD59B8" w:rsidP="00FD59B8">
      <w:pPr>
        <w:rPr>
          <w:rFonts w:eastAsia="Times New Roman" w:cs="Times New Roman"/>
          <w:b/>
          <w:bCs/>
          <w:color w:val="000000"/>
          <w:kern w:val="36"/>
          <w:lang w:eastAsia="en-GB"/>
          <w14:ligatures w14:val="none"/>
        </w:rPr>
      </w:pPr>
    </w:p>
    <w:p w14:paraId="725499FC" w14:textId="77777777" w:rsidR="00FD59B8" w:rsidRPr="000D1E0F" w:rsidRDefault="00FD59B8" w:rsidP="00FD59B8">
      <w:pPr>
        <w:rPr>
          <w:rFonts w:eastAsia="Times New Roman" w:cs="Times New Roman"/>
          <w:b/>
          <w:bCs/>
          <w:color w:val="000000"/>
          <w:kern w:val="36"/>
          <w:lang w:eastAsia="en-GB"/>
          <w14:ligatures w14:val="none"/>
        </w:rPr>
      </w:pPr>
      <w:r w:rsidRPr="000D1E0F">
        <w:rPr>
          <w:rFonts w:eastAsia="Times New Roman" w:cs="Times New Roman"/>
          <w:b/>
          <w:bCs/>
          <w:color w:val="000000"/>
          <w:kern w:val="36"/>
          <w:lang w:eastAsia="en-GB"/>
          <w14:ligatures w14:val="none"/>
        </w:rPr>
        <w:t>2.1 General Reserve</w:t>
      </w:r>
    </w:p>
    <w:p w14:paraId="32A44711" w14:textId="77777777" w:rsidR="00FD59B8" w:rsidRPr="00EF6E7C" w:rsidRDefault="00FD59B8" w:rsidP="00FD59B8">
      <w:pPr>
        <w:rPr>
          <w:rFonts w:eastAsia="Times New Roman" w:cs="Times New Roman"/>
          <w:color w:val="000000"/>
          <w:kern w:val="36"/>
          <w:lang w:eastAsia="en-GB"/>
          <w14:ligatures w14:val="none"/>
        </w:rPr>
      </w:pPr>
    </w:p>
    <w:p w14:paraId="63472E04" w14:textId="77777777" w:rsidR="00FD59B8" w:rsidRPr="00EF6E7C" w:rsidRDefault="00FD59B8" w:rsidP="00FD59B8">
      <w:pPr>
        <w:rPr>
          <w:rFonts w:eastAsia="Times New Roman" w:cs="Times New Roman"/>
          <w:color w:val="000000"/>
          <w:kern w:val="36"/>
          <w:lang w:eastAsia="en-GB"/>
          <w14:ligatures w14:val="none"/>
        </w:rPr>
      </w:pPr>
      <w:r w:rsidRPr="00EF6E7C">
        <w:rPr>
          <w:rFonts w:eastAsia="Times New Roman" w:cs="Times New Roman"/>
          <w:color w:val="000000"/>
          <w:kern w:val="36"/>
          <w:lang w:eastAsia="en-GB"/>
          <w14:ligatures w14:val="none"/>
        </w:rPr>
        <w:t>The General Reserve is the Council’s primary unallocated reserve and represents the Council’s working balance. It is maintained to support cash flow requirements, manage uneven timing between income and expenditure, and provide contingency funding for unexpected costs or emergencies which cannot reasonably be met from the annual budget or from earmarked reserves.</w:t>
      </w:r>
    </w:p>
    <w:p w14:paraId="3CBD3D4C" w14:textId="77777777" w:rsidR="00FD59B8" w:rsidRPr="00EF6E7C" w:rsidRDefault="00FD59B8" w:rsidP="00FD59B8">
      <w:pPr>
        <w:rPr>
          <w:rFonts w:eastAsia="Times New Roman" w:cs="Times New Roman"/>
          <w:color w:val="000000"/>
          <w:kern w:val="36"/>
          <w:lang w:eastAsia="en-GB"/>
          <w14:ligatures w14:val="none"/>
        </w:rPr>
      </w:pPr>
    </w:p>
    <w:p w14:paraId="42E57163" w14:textId="77777777" w:rsidR="00FD59B8" w:rsidRPr="00EF6E7C" w:rsidRDefault="00FD59B8" w:rsidP="00FD59B8">
      <w:pPr>
        <w:rPr>
          <w:rFonts w:eastAsia="Times New Roman" w:cs="Times New Roman"/>
          <w:color w:val="000000"/>
          <w:kern w:val="36"/>
          <w:lang w:eastAsia="en-GB"/>
          <w14:ligatures w14:val="none"/>
        </w:rPr>
      </w:pPr>
      <w:r w:rsidRPr="00EF6E7C">
        <w:rPr>
          <w:rFonts w:eastAsia="Times New Roman" w:cs="Times New Roman"/>
          <w:color w:val="000000"/>
          <w:kern w:val="36"/>
          <w:lang w:eastAsia="en-GB"/>
          <w14:ligatures w14:val="none"/>
        </w:rPr>
        <w:t xml:space="preserve">The Council will normally seek to maintain a General Reserve equivalent </w:t>
      </w:r>
      <w:r>
        <w:rPr>
          <w:rFonts w:eastAsia="Times New Roman" w:cs="Times New Roman"/>
          <w:color w:val="000000"/>
          <w:kern w:val="36"/>
          <w:lang w:eastAsia="en-GB"/>
          <w14:ligatures w14:val="none"/>
        </w:rPr>
        <w:t>to 80-</w:t>
      </w:r>
      <w:r w:rsidRPr="00EF6E7C">
        <w:rPr>
          <w:rFonts w:eastAsia="Times New Roman" w:cs="Times New Roman"/>
          <w:color w:val="000000"/>
          <w:kern w:val="36"/>
          <w:lang w:eastAsia="en-GB"/>
          <w14:ligatures w14:val="none"/>
        </w:rPr>
        <w:t>100% of the annual precept, subject to annual review. The adequacy of the General Reserve will be reviewed each year as part of the budget and precept-setting process</w:t>
      </w:r>
      <w:r>
        <w:rPr>
          <w:rFonts w:eastAsia="Times New Roman" w:cs="Times New Roman"/>
          <w:color w:val="000000"/>
          <w:kern w:val="36"/>
          <w:lang w:eastAsia="en-GB"/>
          <w14:ligatures w14:val="none"/>
        </w:rPr>
        <w:t xml:space="preserve"> to reflect changes in the size, responsibilities and commitments of the Council</w:t>
      </w:r>
      <w:r w:rsidRPr="00EF6E7C">
        <w:rPr>
          <w:rFonts w:eastAsia="Times New Roman" w:cs="Times New Roman"/>
          <w:color w:val="000000"/>
          <w:kern w:val="36"/>
          <w:lang w:eastAsia="en-GB"/>
          <w14:ligatures w14:val="none"/>
        </w:rPr>
        <w:t>.</w:t>
      </w:r>
    </w:p>
    <w:p w14:paraId="773BC891" w14:textId="77777777" w:rsidR="00FD59B8" w:rsidRPr="00EF6E7C" w:rsidRDefault="00FD59B8" w:rsidP="00FD59B8">
      <w:pPr>
        <w:rPr>
          <w:rFonts w:eastAsia="Times New Roman" w:cs="Times New Roman"/>
          <w:color w:val="000000"/>
          <w:kern w:val="36"/>
          <w:lang w:eastAsia="en-GB"/>
          <w14:ligatures w14:val="none"/>
        </w:rPr>
      </w:pPr>
    </w:p>
    <w:p w14:paraId="4B8A4834" w14:textId="77777777" w:rsidR="00FD59B8" w:rsidRPr="00EF6E7C" w:rsidRDefault="00FD59B8" w:rsidP="00FD59B8">
      <w:pPr>
        <w:rPr>
          <w:rFonts w:eastAsia="Times New Roman" w:cs="Times New Roman"/>
          <w:color w:val="000000"/>
          <w:kern w:val="36"/>
          <w:lang w:eastAsia="en-GB"/>
          <w14:ligatures w14:val="none"/>
        </w:rPr>
      </w:pPr>
      <w:r w:rsidRPr="00EF6E7C">
        <w:rPr>
          <w:rFonts w:eastAsia="Times New Roman" w:cs="Times New Roman"/>
          <w:color w:val="000000"/>
          <w:kern w:val="36"/>
          <w:lang w:eastAsia="en-GB"/>
          <w14:ligatures w14:val="none"/>
        </w:rPr>
        <w:t>Where the General Reserve falls materially below the target range, the Council will seek to replenish it over an appropriate period, normally within two to three financial years. Where balances exceed the target range, the Council may consider transferring surplus funds into earmarked reserves or applying them towards one-off expenditure or future financial commitments.</w:t>
      </w:r>
    </w:p>
    <w:p w14:paraId="1300D187" w14:textId="77777777" w:rsidR="00FD59B8" w:rsidRPr="00EF6E7C" w:rsidRDefault="00FD59B8" w:rsidP="00FD59B8">
      <w:pPr>
        <w:rPr>
          <w:rFonts w:eastAsia="Times New Roman" w:cs="Times New Roman"/>
          <w:color w:val="000000"/>
          <w:kern w:val="36"/>
          <w:lang w:eastAsia="en-GB"/>
          <w14:ligatures w14:val="none"/>
        </w:rPr>
      </w:pPr>
    </w:p>
    <w:p w14:paraId="2172EB55" w14:textId="77777777" w:rsidR="00FD59B8" w:rsidRPr="000D1E0F" w:rsidRDefault="00FD59B8" w:rsidP="00FD59B8">
      <w:pPr>
        <w:rPr>
          <w:rFonts w:eastAsia="Times New Roman" w:cs="Times New Roman"/>
          <w:b/>
          <w:bCs/>
          <w:color w:val="000000"/>
          <w:kern w:val="36"/>
          <w:lang w:eastAsia="en-GB"/>
          <w14:ligatures w14:val="none"/>
        </w:rPr>
      </w:pPr>
      <w:r w:rsidRPr="000D1E0F">
        <w:rPr>
          <w:rFonts w:eastAsia="Times New Roman" w:cs="Times New Roman"/>
          <w:b/>
          <w:bCs/>
          <w:color w:val="000000"/>
          <w:kern w:val="36"/>
          <w:lang w:eastAsia="en-GB"/>
          <w14:ligatures w14:val="none"/>
        </w:rPr>
        <w:t>2.2 Earmarked Reserves</w:t>
      </w:r>
    </w:p>
    <w:p w14:paraId="50BAD3B3" w14:textId="77777777" w:rsidR="00FD59B8" w:rsidRPr="00EF6E7C" w:rsidRDefault="00FD59B8" w:rsidP="00FD59B8">
      <w:pPr>
        <w:rPr>
          <w:rFonts w:eastAsia="Times New Roman" w:cs="Times New Roman"/>
          <w:color w:val="000000"/>
          <w:kern w:val="36"/>
          <w:lang w:eastAsia="en-GB"/>
          <w14:ligatures w14:val="none"/>
        </w:rPr>
      </w:pPr>
    </w:p>
    <w:p w14:paraId="2A58603B" w14:textId="77777777" w:rsidR="00FD59B8" w:rsidRPr="00EF6E7C" w:rsidRDefault="00FD59B8" w:rsidP="00FD59B8">
      <w:pPr>
        <w:rPr>
          <w:rFonts w:eastAsia="Times New Roman" w:cs="Times New Roman"/>
          <w:color w:val="000000"/>
          <w:kern w:val="36"/>
          <w:lang w:eastAsia="en-GB"/>
          <w14:ligatures w14:val="none"/>
        </w:rPr>
      </w:pPr>
      <w:r>
        <w:rPr>
          <w:rFonts w:eastAsia="Times New Roman" w:cs="Times New Roman"/>
          <w:color w:val="000000"/>
          <w:kern w:val="36"/>
          <w:lang w:eastAsia="en-GB"/>
          <w14:ligatures w14:val="none"/>
        </w:rPr>
        <w:t>The Council maintains some E</w:t>
      </w:r>
      <w:r w:rsidRPr="00EF6E7C">
        <w:rPr>
          <w:rFonts w:eastAsia="Times New Roman" w:cs="Times New Roman"/>
          <w:color w:val="000000"/>
          <w:kern w:val="36"/>
          <w:lang w:eastAsia="en-GB"/>
          <w14:ligatures w14:val="none"/>
        </w:rPr>
        <w:t>armarked Reserves</w:t>
      </w:r>
      <w:r>
        <w:rPr>
          <w:rFonts w:eastAsia="Times New Roman" w:cs="Times New Roman"/>
          <w:color w:val="000000"/>
          <w:kern w:val="36"/>
          <w:lang w:eastAsia="en-GB"/>
          <w14:ligatures w14:val="none"/>
        </w:rPr>
        <w:t>, which are</w:t>
      </w:r>
      <w:r w:rsidRPr="00EF6E7C">
        <w:rPr>
          <w:rFonts w:eastAsia="Times New Roman" w:cs="Times New Roman"/>
          <w:color w:val="000000"/>
          <w:kern w:val="36"/>
          <w:lang w:eastAsia="en-GB"/>
          <w14:ligatures w14:val="none"/>
        </w:rPr>
        <w:t xml:space="preserve"> sums set aside for specific purposes, known future expenditure or anticipated liabilities. Such reserves </w:t>
      </w:r>
      <w:r w:rsidRPr="00EF6E7C">
        <w:rPr>
          <w:rFonts w:eastAsia="Times New Roman" w:cs="Times New Roman"/>
          <w:color w:val="000000"/>
          <w:kern w:val="36"/>
          <w:lang w:eastAsia="en-GB"/>
          <w14:ligatures w14:val="none"/>
        </w:rPr>
        <w:lastRenderedPageBreak/>
        <w:t>enable the Council to plan for larger expenditure over several years and reduce the need for significant changes in the level of the precept in any individual year.</w:t>
      </w:r>
    </w:p>
    <w:p w14:paraId="1B7087FC" w14:textId="77777777" w:rsidR="00FD59B8" w:rsidRPr="00EF6E7C" w:rsidRDefault="00FD59B8" w:rsidP="00FD59B8">
      <w:pPr>
        <w:rPr>
          <w:rFonts w:eastAsia="Times New Roman" w:cs="Times New Roman"/>
          <w:color w:val="000000"/>
          <w:kern w:val="36"/>
          <w:lang w:eastAsia="en-GB"/>
          <w14:ligatures w14:val="none"/>
        </w:rPr>
      </w:pPr>
    </w:p>
    <w:p w14:paraId="471D8C23" w14:textId="77777777" w:rsidR="00FD59B8" w:rsidRPr="00EF6E7C" w:rsidRDefault="00FD59B8" w:rsidP="00FD59B8">
      <w:pPr>
        <w:rPr>
          <w:rFonts w:eastAsia="Times New Roman" w:cs="Times New Roman"/>
          <w:color w:val="000000"/>
          <w:kern w:val="36"/>
          <w:lang w:eastAsia="en-GB"/>
          <w14:ligatures w14:val="none"/>
        </w:rPr>
      </w:pPr>
      <w:r w:rsidRPr="00EF6E7C">
        <w:rPr>
          <w:rFonts w:eastAsia="Times New Roman" w:cs="Times New Roman"/>
          <w:color w:val="000000"/>
          <w:kern w:val="36"/>
          <w:lang w:eastAsia="en-GB"/>
          <w14:ligatures w14:val="none"/>
        </w:rPr>
        <w:t>The Council may maintain earmarked reserves for matters including, but not limited to, playground and recreation ground improvements, replacement of assets, elections, traffic calming initiatives, environmental projects, community infrastructure, IT and cybersecurity improvements, and major maintenance works.</w:t>
      </w:r>
    </w:p>
    <w:p w14:paraId="53960064" w14:textId="77777777" w:rsidR="00FD59B8" w:rsidRPr="00EF6E7C" w:rsidRDefault="00FD59B8" w:rsidP="00FD59B8">
      <w:pPr>
        <w:rPr>
          <w:rFonts w:eastAsia="Times New Roman" w:cs="Times New Roman"/>
          <w:color w:val="000000"/>
          <w:kern w:val="36"/>
          <w:lang w:eastAsia="en-GB"/>
          <w14:ligatures w14:val="none"/>
        </w:rPr>
      </w:pPr>
    </w:p>
    <w:p w14:paraId="3C99E8D3" w14:textId="77777777" w:rsidR="00FD59B8" w:rsidRPr="00EF6E7C" w:rsidRDefault="00FD59B8" w:rsidP="00FD59B8">
      <w:pPr>
        <w:rPr>
          <w:rFonts w:eastAsia="Times New Roman" w:cs="Times New Roman"/>
          <w:color w:val="000000"/>
          <w:kern w:val="36"/>
          <w:lang w:eastAsia="en-GB"/>
          <w14:ligatures w14:val="none"/>
        </w:rPr>
      </w:pPr>
      <w:r w:rsidRPr="00EF6E7C">
        <w:rPr>
          <w:rFonts w:eastAsia="Times New Roman" w:cs="Times New Roman"/>
          <w:color w:val="000000"/>
          <w:kern w:val="36"/>
          <w:lang w:eastAsia="en-GB"/>
          <w14:ligatures w14:val="none"/>
        </w:rPr>
        <w:t>Detailed balances, purposes and movements relating to earmarked reserves shall be maintained within the Council’s accounting records and reviewed regularly by the Council. Transfers to and from earmarked reserves require approval by Full Council and shall be recorded in the minutes. Earmarked reserves shall only be used for their stated purpose unless formally redesignated by resolution of the Council.</w:t>
      </w:r>
    </w:p>
    <w:p w14:paraId="7785C116" w14:textId="77777777" w:rsidR="00FD59B8" w:rsidRPr="00EF6E7C" w:rsidRDefault="00FD59B8" w:rsidP="00FD59B8">
      <w:pPr>
        <w:rPr>
          <w:rFonts w:eastAsia="Times New Roman" w:cs="Times New Roman"/>
          <w:color w:val="000000"/>
          <w:kern w:val="36"/>
          <w:lang w:eastAsia="en-GB"/>
          <w14:ligatures w14:val="none"/>
        </w:rPr>
      </w:pPr>
    </w:p>
    <w:p w14:paraId="614D7269" w14:textId="77777777" w:rsidR="00FD59B8" w:rsidRPr="000D1E0F" w:rsidRDefault="00FD59B8" w:rsidP="00FD59B8">
      <w:pPr>
        <w:rPr>
          <w:rFonts w:eastAsia="Times New Roman" w:cs="Times New Roman"/>
          <w:b/>
          <w:bCs/>
          <w:color w:val="000000"/>
          <w:kern w:val="36"/>
          <w:lang w:eastAsia="en-GB"/>
          <w14:ligatures w14:val="none"/>
        </w:rPr>
      </w:pPr>
      <w:r w:rsidRPr="000D1E0F">
        <w:rPr>
          <w:rFonts w:eastAsia="Times New Roman" w:cs="Times New Roman"/>
          <w:b/>
          <w:bCs/>
          <w:color w:val="000000"/>
          <w:kern w:val="36"/>
          <w:lang w:eastAsia="en-GB"/>
          <w14:ligatures w14:val="none"/>
        </w:rPr>
        <w:t>3. Review and Reporting</w:t>
      </w:r>
    </w:p>
    <w:p w14:paraId="732B0513" w14:textId="77777777" w:rsidR="00FD59B8" w:rsidRPr="00EF6E7C" w:rsidRDefault="00FD59B8" w:rsidP="00FD59B8">
      <w:pPr>
        <w:rPr>
          <w:rFonts w:eastAsia="Times New Roman" w:cs="Times New Roman"/>
          <w:color w:val="000000"/>
          <w:kern w:val="36"/>
          <w:lang w:eastAsia="en-GB"/>
          <w14:ligatures w14:val="none"/>
        </w:rPr>
      </w:pPr>
    </w:p>
    <w:p w14:paraId="546EAF6C" w14:textId="77777777" w:rsidR="00FD59B8" w:rsidRPr="00EF6E7C" w:rsidRDefault="00FD59B8" w:rsidP="00FD59B8">
      <w:pPr>
        <w:rPr>
          <w:rFonts w:eastAsia="Times New Roman" w:cs="Times New Roman"/>
          <w:color w:val="000000"/>
          <w:kern w:val="36"/>
          <w:lang w:eastAsia="en-GB"/>
          <w14:ligatures w14:val="none"/>
        </w:rPr>
      </w:pPr>
      <w:r w:rsidRPr="00EF6E7C">
        <w:rPr>
          <w:rFonts w:eastAsia="Times New Roman" w:cs="Times New Roman"/>
          <w:color w:val="000000"/>
          <w:kern w:val="36"/>
          <w:lang w:eastAsia="en-GB"/>
          <w14:ligatures w14:val="none"/>
        </w:rPr>
        <w:t>The Responsible Financial Officer (RFO) will report reserve balances to the Council as part of the annual budget and precept-setting process. This will include opening balances, any movements during the year, proposed allocations and estimated closing balances.</w:t>
      </w:r>
    </w:p>
    <w:p w14:paraId="354CB673" w14:textId="77777777" w:rsidR="00FD59B8" w:rsidRPr="00EF6E7C" w:rsidRDefault="00FD59B8" w:rsidP="00FD59B8">
      <w:pPr>
        <w:rPr>
          <w:rFonts w:eastAsia="Times New Roman" w:cs="Times New Roman"/>
          <w:color w:val="000000"/>
          <w:kern w:val="36"/>
          <w:lang w:eastAsia="en-GB"/>
          <w14:ligatures w14:val="none"/>
        </w:rPr>
      </w:pPr>
    </w:p>
    <w:p w14:paraId="5B00290D" w14:textId="77777777" w:rsidR="00FD59B8" w:rsidRPr="00EF6E7C" w:rsidRDefault="00FD59B8" w:rsidP="00FD59B8">
      <w:pPr>
        <w:rPr>
          <w:rFonts w:eastAsia="Times New Roman" w:cs="Times New Roman"/>
          <w:color w:val="000000"/>
          <w:kern w:val="36"/>
          <w:lang w:eastAsia="en-GB"/>
          <w14:ligatures w14:val="none"/>
        </w:rPr>
      </w:pPr>
      <w:r w:rsidRPr="00EF6E7C">
        <w:rPr>
          <w:rFonts w:eastAsia="Times New Roman" w:cs="Times New Roman"/>
          <w:color w:val="000000"/>
          <w:kern w:val="36"/>
          <w:lang w:eastAsia="en-GB"/>
          <w14:ligatures w14:val="none"/>
        </w:rPr>
        <w:t>Reserve levels will also be monitored throughout the financial year to ensure they remain adequate and appropriate. Any significant or material changes will be reported to Full Council at the earliest appropriate opportunity.</w:t>
      </w:r>
    </w:p>
    <w:p w14:paraId="3033B84E" w14:textId="77777777" w:rsidR="00FD59B8" w:rsidRPr="00EF6E7C" w:rsidRDefault="00FD59B8" w:rsidP="00FD59B8">
      <w:pPr>
        <w:rPr>
          <w:rFonts w:eastAsia="Times New Roman" w:cs="Times New Roman"/>
          <w:color w:val="000000"/>
          <w:kern w:val="36"/>
          <w:lang w:eastAsia="en-GB"/>
          <w14:ligatures w14:val="none"/>
        </w:rPr>
      </w:pPr>
    </w:p>
    <w:p w14:paraId="4B326758" w14:textId="77777777" w:rsidR="00FD59B8" w:rsidRPr="00EF6E7C" w:rsidRDefault="00FD59B8" w:rsidP="00FD59B8">
      <w:pPr>
        <w:rPr>
          <w:rFonts w:eastAsia="Times New Roman" w:cs="Times New Roman"/>
          <w:color w:val="000000"/>
          <w:kern w:val="36"/>
          <w:lang w:eastAsia="en-GB"/>
          <w14:ligatures w14:val="none"/>
        </w:rPr>
      </w:pPr>
      <w:r w:rsidRPr="00EF6E7C">
        <w:rPr>
          <w:rFonts w:eastAsia="Times New Roman" w:cs="Times New Roman"/>
          <w:color w:val="000000"/>
          <w:kern w:val="36"/>
          <w:lang w:eastAsia="en-GB"/>
          <w14:ligatures w14:val="none"/>
        </w:rPr>
        <w:t>The management and use of reserves may be reviewed as part of the Council’s internal and external audit processes. Summaries of reserve balances will be included within the Council’s financial reporting and annual accounting statements in the interests of transparency and accountability.</w:t>
      </w:r>
    </w:p>
    <w:p w14:paraId="67B38118" w14:textId="77777777" w:rsidR="00FD59B8" w:rsidRPr="00EF6E7C" w:rsidRDefault="00FD59B8" w:rsidP="00FD59B8">
      <w:pPr>
        <w:rPr>
          <w:rFonts w:eastAsia="Times New Roman" w:cs="Times New Roman"/>
          <w:color w:val="000000"/>
          <w:kern w:val="36"/>
          <w:lang w:eastAsia="en-GB"/>
          <w14:ligatures w14:val="none"/>
        </w:rPr>
      </w:pPr>
    </w:p>
    <w:p w14:paraId="6C6C65A9" w14:textId="77777777" w:rsidR="00FD59B8" w:rsidRPr="000D1E0F" w:rsidRDefault="00FD59B8" w:rsidP="00FD59B8">
      <w:pPr>
        <w:rPr>
          <w:rFonts w:eastAsia="Times New Roman" w:cs="Times New Roman"/>
          <w:b/>
          <w:bCs/>
          <w:color w:val="000000"/>
          <w:kern w:val="36"/>
          <w:lang w:eastAsia="en-GB"/>
          <w14:ligatures w14:val="none"/>
        </w:rPr>
      </w:pPr>
      <w:r w:rsidRPr="000D1E0F">
        <w:rPr>
          <w:rFonts w:eastAsia="Times New Roman" w:cs="Times New Roman"/>
          <w:b/>
          <w:bCs/>
          <w:color w:val="000000"/>
          <w:kern w:val="36"/>
          <w:lang w:eastAsia="en-GB"/>
          <w14:ligatures w14:val="none"/>
        </w:rPr>
        <w:t>4. Roles and Responsibilities</w:t>
      </w:r>
    </w:p>
    <w:p w14:paraId="1584EC79" w14:textId="77777777" w:rsidR="00FD59B8" w:rsidRPr="00EF6E7C" w:rsidRDefault="00FD59B8" w:rsidP="00FD59B8">
      <w:pPr>
        <w:rPr>
          <w:rFonts w:eastAsia="Times New Roman" w:cs="Times New Roman"/>
          <w:color w:val="000000"/>
          <w:kern w:val="36"/>
          <w:lang w:eastAsia="en-GB"/>
          <w14:ligatures w14:val="none"/>
        </w:rPr>
      </w:pPr>
    </w:p>
    <w:p w14:paraId="27709CF9" w14:textId="77777777" w:rsidR="00FD59B8" w:rsidRPr="00EF6E7C" w:rsidRDefault="00FD59B8" w:rsidP="00FD59B8">
      <w:pPr>
        <w:rPr>
          <w:rFonts w:eastAsia="Times New Roman" w:cs="Times New Roman"/>
          <w:color w:val="000000"/>
          <w:kern w:val="36"/>
          <w:lang w:eastAsia="en-GB"/>
          <w14:ligatures w14:val="none"/>
        </w:rPr>
      </w:pPr>
      <w:r w:rsidRPr="00EF6E7C">
        <w:rPr>
          <w:rFonts w:eastAsia="Times New Roman" w:cs="Times New Roman"/>
          <w:color w:val="000000"/>
          <w:kern w:val="36"/>
          <w:lang w:eastAsia="en-GB"/>
          <w14:ligatures w14:val="none"/>
        </w:rPr>
        <w:t>The Responsible Financial Officer is responsible for monitoring reserve balances, maintaining appropriate accounting records, preparing reports for Council and advising members on the adequacy and appropriate use of reserves.</w:t>
      </w:r>
    </w:p>
    <w:p w14:paraId="2642CD15" w14:textId="77777777" w:rsidR="00FD59B8" w:rsidRPr="00EF6E7C" w:rsidRDefault="00FD59B8" w:rsidP="00FD59B8">
      <w:pPr>
        <w:rPr>
          <w:rFonts w:eastAsia="Times New Roman" w:cs="Times New Roman"/>
          <w:color w:val="000000"/>
          <w:kern w:val="36"/>
          <w:lang w:eastAsia="en-GB"/>
          <w14:ligatures w14:val="none"/>
        </w:rPr>
      </w:pPr>
    </w:p>
    <w:p w14:paraId="6BC26330" w14:textId="77777777" w:rsidR="00FD59B8" w:rsidRPr="00EF6E7C" w:rsidRDefault="00FD59B8" w:rsidP="00FD59B8">
      <w:pPr>
        <w:rPr>
          <w:rFonts w:eastAsia="Times New Roman" w:cs="Times New Roman"/>
          <w:color w:val="000000"/>
          <w:kern w:val="36"/>
          <w:lang w:eastAsia="en-GB"/>
          <w14:ligatures w14:val="none"/>
        </w:rPr>
      </w:pPr>
      <w:r w:rsidRPr="00EF6E7C">
        <w:rPr>
          <w:rFonts w:eastAsia="Times New Roman" w:cs="Times New Roman"/>
          <w:color w:val="000000"/>
          <w:kern w:val="36"/>
          <w:lang w:eastAsia="en-GB"/>
          <w14:ligatures w14:val="none"/>
        </w:rPr>
        <w:t>Responsibility for determining and approving reserve levels rests with Full Council. Full Council is also responsible for approving the establishment, use, transfer and redesignation of reserves and for ensuring that reserve levels remain proportionate, justified and consistent with the Council’s financial risks and obligations.</w:t>
      </w:r>
    </w:p>
    <w:p w14:paraId="1B6409FF" w14:textId="77777777" w:rsidR="00FD59B8" w:rsidRPr="00EF6E7C" w:rsidRDefault="00FD59B8" w:rsidP="00FD59B8">
      <w:pPr>
        <w:rPr>
          <w:rFonts w:eastAsia="Times New Roman" w:cs="Times New Roman"/>
          <w:color w:val="000000"/>
          <w:kern w:val="36"/>
          <w:lang w:eastAsia="en-GB"/>
          <w14:ligatures w14:val="none"/>
        </w:rPr>
      </w:pPr>
    </w:p>
    <w:p w14:paraId="67E0424B" w14:textId="77777777" w:rsidR="00FD59B8" w:rsidRPr="000D1E0F" w:rsidRDefault="00FD59B8" w:rsidP="00FD59B8">
      <w:pPr>
        <w:rPr>
          <w:rFonts w:eastAsia="Times New Roman" w:cs="Times New Roman"/>
          <w:b/>
          <w:bCs/>
          <w:color w:val="000000"/>
          <w:kern w:val="36"/>
          <w:lang w:eastAsia="en-GB"/>
          <w14:ligatures w14:val="none"/>
        </w:rPr>
      </w:pPr>
      <w:r w:rsidRPr="000D1E0F">
        <w:rPr>
          <w:rFonts w:eastAsia="Times New Roman" w:cs="Times New Roman"/>
          <w:b/>
          <w:bCs/>
          <w:color w:val="000000"/>
          <w:kern w:val="36"/>
          <w:lang w:eastAsia="en-GB"/>
          <w14:ligatures w14:val="none"/>
        </w:rPr>
        <w:t>5. Policy Review</w:t>
      </w:r>
    </w:p>
    <w:p w14:paraId="215C1C1A" w14:textId="77777777" w:rsidR="00FD59B8" w:rsidRPr="00EF6E7C" w:rsidRDefault="00FD59B8" w:rsidP="00FD59B8">
      <w:pPr>
        <w:rPr>
          <w:rFonts w:eastAsia="Times New Roman" w:cs="Times New Roman"/>
          <w:color w:val="000000"/>
          <w:kern w:val="36"/>
          <w:lang w:eastAsia="en-GB"/>
          <w14:ligatures w14:val="none"/>
        </w:rPr>
      </w:pPr>
    </w:p>
    <w:p w14:paraId="65AED7A7" w14:textId="77777777" w:rsidR="00FD59B8" w:rsidRDefault="00FD59B8" w:rsidP="00FD59B8">
      <w:pPr>
        <w:rPr>
          <w:rFonts w:eastAsia="Times New Roman" w:cs="Times New Roman"/>
          <w:color w:val="000000"/>
          <w:kern w:val="36"/>
          <w:lang w:eastAsia="en-GB"/>
          <w14:ligatures w14:val="none"/>
        </w:rPr>
      </w:pPr>
      <w:r w:rsidRPr="00EF6E7C">
        <w:rPr>
          <w:rFonts w:eastAsia="Times New Roman" w:cs="Times New Roman"/>
          <w:color w:val="000000"/>
          <w:kern w:val="36"/>
          <w:lang w:eastAsia="en-GB"/>
          <w14:ligatures w14:val="none"/>
        </w:rPr>
        <w:t>This policy will be reviewed every two years, or sooner where there are material changes to legislation, the JPAG Practitioners’ Guide, the Council’s Financial Regulations, or the Council’s financial position, responsibilities or risk profile.</w:t>
      </w:r>
    </w:p>
    <w:p w14:paraId="7F940312" w14:textId="77777777" w:rsidR="00FD59B8" w:rsidRDefault="00FD59B8" w:rsidP="00FD59B8">
      <w:pPr>
        <w:rPr>
          <w:rFonts w:eastAsia="Times New Roman" w:cs="Times New Roman"/>
          <w:color w:val="000000"/>
          <w:kern w:val="36"/>
          <w:lang w:eastAsia="en-GB"/>
          <w14:ligatures w14:val="none"/>
        </w:rPr>
      </w:pPr>
    </w:p>
    <w:p w14:paraId="6C46CED6" w14:textId="77777777" w:rsidR="00FD59B8" w:rsidRDefault="00FD59B8" w:rsidP="00FD59B8">
      <w:pPr>
        <w:rPr>
          <w:rFonts w:eastAsia="Times New Roman" w:cs="Times New Roman"/>
          <w:color w:val="000000"/>
          <w:kern w:val="36"/>
          <w:lang w:eastAsia="en-GB"/>
          <w14:ligatures w14:val="none"/>
        </w:rPr>
      </w:pPr>
      <w:r>
        <w:rPr>
          <w:rFonts w:eastAsia="Times New Roman" w:cs="Times New Roman"/>
          <w:color w:val="000000"/>
          <w:kern w:val="36"/>
          <w:lang w:eastAsia="en-GB"/>
          <w14:ligatures w14:val="none"/>
        </w:rPr>
        <w:lastRenderedPageBreak/>
        <w:t>Designated Reserves 2026/27</w:t>
      </w:r>
    </w:p>
    <w:p w14:paraId="7379C6F9" w14:textId="77777777" w:rsidR="00FD59B8" w:rsidRDefault="00FD59B8" w:rsidP="00FD59B8">
      <w:pPr>
        <w:rPr>
          <w:rFonts w:eastAsia="Times New Roman" w:cs="Times New Roman"/>
          <w:color w:val="000000"/>
          <w:kern w:val="36"/>
          <w:lang w:eastAsia="en-GB"/>
          <w14:ligatures w14:val="none"/>
        </w:rPr>
      </w:pPr>
    </w:p>
    <w:tbl>
      <w:tblPr>
        <w:tblStyle w:val="TableGrid"/>
        <w:tblW w:w="9918" w:type="dxa"/>
        <w:tblLook w:val="04A0" w:firstRow="1" w:lastRow="0" w:firstColumn="1" w:lastColumn="0" w:noHBand="0" w:noVBand="1"/>
      </w:tblPr>
      <w:tblGrid>
        <w:gridCol w:w="2122"/>
        <w:gridCol w:w="1842"/>
        <w:gridCol w:w="5954"/>
      </w:tblGrid>
      <w:tr w:rsidR="00FD59B8" w14:paraId="278D9901" w14:textId="77777777" w:rsidTr="00466FA4">
        <w:tc>
          <w:tcPr>
            <w:tcW w:w="2122" w:type="dxa"/>
          </w:tcPr>
          <w:p w14:paraId="21D33991" w14:textId="77777777" w:rsidR="00FD59B8" w:rsidRPr="002118B7" w:rsidRDefault="00FD59B8" w:rsidP="00466FA4">
            <w:pPr>
              <w:rPr>
                <w:b/>
                <w:bCs/>
              </w:rPr>
            </w:pPr>
            <w:r w:rsidRPr="002118B7">
              <w:rPr>
                <w:b/>
                <w:bCs/>
              </w:rPr>
              <w:t>Type of Reserve</w:t>
            </w:r>
          </w:p>
        </w:tc>
        <w:tc>
          <w:tcPr>
            <w:tcW w:w="1842" w:type="dxa"/>
          </w:tcPr>
          <w:p w14:paraId="3F5433F0" w14:textId="77777777" w:rsidR="00FD59B8" w:rsidRPr="002118B7" w:rsidRDefault="00FD59B8" w:rsidP="00466FA4">
            <w:pPr>
              <w:rPr>
                <w:b/>
                <w:bCs/>
              </w:rPr>
            </w:pPr>
            <w:r w:rsidRPr="002118B7">
              <w:rPr>
                <w:b/>
                <w:bCs/>
              </w:rPr>
              <w:t>Amount</w:t>
            </w:r>
          </w:p>
        </w:tc>
        <w:tc>
          <w:tcPr>
            <w:tcW w:w="5954" w:type="dxa"/>
          </w:tcPr>
          <w:p w14:paraId="1C5943E0" w14:textId="77777777" w:rsidR="00FD59B8" w:rsidRPr="002118B7" w:rsidRDefault="00FD59B8" w:rsidP="00466FA4">
            <w:pPr>
              <w:rPr>
                <w:b/>
                <w:bCs/>
              </w:rPr>
            </w:pPr>
            <w:r w:rsidRPr="002118B7">
              <w:rPr>
                <w:b/>
                <w:bCs/>
              </w:rPr>
              <w:t>Notes</w:t>
            </w:r>
          </w:p>
        </w:tc>
      </w:tr>
      <w:tr w:rsidR="00FD59B8" w14:paraId="41082986" w14:textId="77777777" w:rsidTr="00466FA4">
        <w:tc>
          <w:tcPr>
            <w:tcW w:w="2122" w:type="dxa"/>
          </w:tcPr>
          <w:p w14:paraId="7E3390C7" w14:textId="77777777" w:rsidR="00FD59B8" w:rsidRDefault="00FD59B8" w:rsidP="00466FA4">
            <w:r>
              <w:t>General</w:t>
            </w:r>
          </w:p>
        </w:tc>
        <w:tc>
          <w:tcPr>
            <w:tcW w:w="1842" w:type="dxa"/>
          </w:tcPr>
          <w:p w14:paraId="1B462532" w14:textId="77777777" w:rsidR="00FD59B8" w:rsidRDefault="00FD59B8" w:rsidP="00466FA4">
            <w:r>
              <w:t>£60,000</w:t>
            </w:r>
          </w:p>
        </w:tc>
        <w:tc>
          <w:tcPr>
            <w:tcW w:w="5954" w:type="dxa"/>
          </w:tcPr>
          <w:p w14:paraId="6D0DAF3A" w14:textId="77777777" w:rsidR="00FD59B8" w:rsidRDefault="00FD59B8" w:rsidP="00466FA4">
            <w:r>
              <w:t>General Reserve</w:t>
            </w:r>
          </w:p>
        </w:tc>
      </w:tr>
      <w:tr w:rsidR="00FD59B8" w14:paraId="0F9E3F44" w14:textId="77777777" w:rsidTr="00466FA4">
        <w:tc>
          <w:tcPr>
            <w:tcW w:w="2122" w:type="dxa"/>
          </w:tcPr>
          <w:p w14:paraId="712DD16B" w14:textId="77777777" w:rsidR="00FD59B8" w:rsidRDefault="00FD59B8" w:rsidP="00466FA4">
            <w:r>
              <w:t>Earmarked</w:t>
            </w:r>
          </w:p>
        </w:tc>
        <w:tc>
          <w:tcPr>
            <w:tcW w:w="1842" w:type="dxa"/>
          </w:tcPr>
          <w:p w14:paraId="05C7EA9D" w14:textId="77777777" w:rsidR="00FD59B8" w:rsidRDefault="00FD59B8" w:rsidP="00466FA4">
            <w:r>
              <w:t>£20,000</w:t>
            </w:r>
          </w:p>
        </w:tc>
        <w:tc>
          <w:tcPr>
            <w:tcW w:w="5954" w:type="dxa"/>
          </w:tcPr>
          <w:p w14:paraId="61803C82" w14:textId="77777777" w:rsidR="00FD59B8" w:rsidRDefault="00FD59B8" w:rsidP="00466FA4">
            <w:r>
              <w:t>Earmarked for highways initiatives in SRE &amp; W, RR, DR &amp; MR; Ledo Road A505 junction; North Road</w:t>
            </w:r>
          </w:p>
        </w:tc>
      </w:tr>
      <w:tr w:rsidR="00FD59B8" w14:paraId="318E2E5C" w14:textId="77777777" w:rsidTr="00466FA4">
        <w:tc>
          <w:tcPr>
            <w:tcW w:w="2122" w:type="dxa"/>
          </w:tcPr>
          <w:p w14:paraId="44EDC6BB" w14:textId="77777777" w:rsidR="00FD59B8" w:rsidRDefault="00FD59B8" w:rsidP="00466FA4">
            <w:r>
              <w:t>Earmarked</w:t>
            </w:r>
          </w:p>
        </w:tc>
        <w:tc>
          <w:tcPr>
            <w:tcW w:w="1842" w:type="dxa"/>
          </w:tcPr>
          <w:p w14:paraId="70EDC228" w14:textId="77777777" w:rsidR="00FD59B8" w:rsidRPr="002118B7" w:rsidRDefault="00FD59B8" w:rsidP="00466FA4">
            <w:r>
              <w:rPr>
                <w:rFonts w:cs="Calibri"/>
              </w:rPr>
              <w:t>£4,000</w:t>
            </w:r>
            <w:r w:rsidRPr="002118B7">
              <w:rPr>
                <w:rFonts w:cs="Calibri"/>
              </w:rPr>
              <w:t xml:space="preserve">         </w:t>
            </w:r>
          </w:p>
        </w:tc>
        <w:tc>
          <w:tcPr>
            <w:tcW w:w="5954" w:type="dxa"/>
          </w:tcPr>
          <w:p w14:paraId="6C3E6AA5" w14:textId="77777777" w:rsidR="00FD59B8" w:rsidRDefault="00FD59B8" w:rsidP="00466FA4">
            <w:r>
              <w:t>S.106 Mosaic Arts Project</w:t>
            </w:r>
          </w:p>
        </w:tc>
      </w:tr>
      <w:tr w:rsidR="00FD59B8" w14:paraId="1E77D037" w14:textId="77777777" w:rsidTr="00466FA4">
        <w:tc>
          <w:tcPr>
            <w:tcW w:w="2122" w:type="dxa"/>
          </w:tcPr>
          <w:p w14:paraId="369540FC" w14:textId="77777777" w:rsidR="00FD59B8" w:rsidRDefault="00FD59B8" w:rsidP="00466FA4">
            <w:r>
              <w:t>Earmarked</w:t>
            </w:r>
          </w:p>
        </w:tc>
        <w:tc>
          <w:tcPr>
            <w:tcW w:w="1842" w:type="dxa"/>
          </w:tcPr>
          <w:p w14:paraId="16EADAEB" w14:textId="77777777" w:rsidR="00FD59B8" w:rsidRDefault="00FD59B8" w:rsidP="00466FA4">
            <w:r>
              <w:t>£76,576.53</w:t>
            </w:r>
          </w:p>
        </w:tc>
        <w:tc>
          <w:tcPr>
            <w:tcW w:w="5954" w:type="dxa"/>
          </w:tcPr>
          <w:p w14:paraId="4ADD14E7" w14:textId="77777777" w:rsidR="00FD59B8" w:rsidRDefault="00FD59B8" w:rsidP="00466FA4">
            <w:r>
              <w:t xml:space="preserve">S.106 for maintenance of Maynards Open Space or village infrastructure and maintenance projects. </w:t>
            </w:r>
          </w:p>
        </w:tc>
      </w:tr>
    </w:tbl>
    <w:p w14:paraId="41E0BFF3" w14:textId="77777777" w:rsidR="00DF0FFD" w:rsidRDefault="00DF0FFD"/>
    <w:sectPr w:rsidR="00DF0F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B8"/>
    <w:rsid w:val="00C8787F"/>
    <w:rsid w:val="00DF0FFD"/>
    <w:rsid w:val="00FD59B8"/>
    <w:rsid w:val="00FF1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ACCA"/>
  <w15:chartTrackingRefBased/>
  <w15:docId w15:val="{1831B391-EA4D-47C6-B353-ECC92AAB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B8"/>
    <w:pPr>
      <w:spacing w:after="0" w:line="240" w:lineRule="auto"/>
    </w:pPr>
    <w:rPr>
      <w:sz w:val="24"/>
      <w:szCs w:val="24"/>
    </w:rPr>
  </w:style>
  <w:style w:type="paragraph" w:styleId="Heading1">
    <w:name w:val="heading 1"/>
    <w:basedOn w:val="Normal"/>
    <w:next w:val="Normal"/>
    <w:link w:val="Heading1Char"/>
    <w:uiPriority w:val="9"/>
    <w:qFormat/>
    <w:rsid w:val="00FD59B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B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B8"/>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B8"/>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FD59B8"/>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FD59B8"/>
    <w:pPr>
      <w:keepNext/>
      <w:keepLines/>
      <w:spacing w:before="4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FD59B8"/>
    <w:pPr>
      <w:keepNext/>
      <w:keepLines/>
      <w:spacing w:before="4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FD59B8"/>
    <w:pPr>
      <w:keepNext/>
      <w:keepLines/>
      <w:spacing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FD59B8"/>
    <w:pPr>
      <w:keepNext/>
      <w:keepLines/>
      <w:spacing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B8"/>
    <w:rPr>
      <w:rFonts w:eastAsiaTheme="majorEastAsia" w:cstheme="majorBidi"/>
      <w:color w:val="272727" w:themeColor="text1" w:themeTint="D8"/>
    </w:rPr>
  </w:style>
  <w:style w:type="paragraph" w:styleId="Title">
    <w:name w:val="Title"/>
    <w:basedOn w:val="Normal"/>
    <w:next w:val="Normal"/>
    <w:link w:val="TitleChar"/>
    <w:uiPriority w:val="10"/>
    <w:qFormat/>
    <w:rsid w:val="00FD59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B8"/>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B8"/>
    <w:pPr>
      <w:spacing w:before="160" w:after="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FD59B8"/>
    <w:rPr>
      <w:i/>
      <w:iCs/>
      <w:color w:val="404040" w:themeColor="text1" w:themeTint="BF"/>
    </w:rPr>
  </w:style>
  <w:style w:type="paragraph" w:styleId="ListParagraph">
    <w:name w:val="List Paragraph"/>
    <w:basedOn w:val="Normal"/>
    <w:uiPriority w:val="34"/>
    <w:qFormat/>
    <w:rsid w:val="00FD59B8"/>
    <w:pPr>
      <w:spacing w:after="160" w:line="259" w:lineRule="auto"/>
      <w:ind w:left="720"/>
      <w:contextualSpacing/>
    </w:pPr>
    <w:rPr>
      <w:sz w:val="22"/>
      <w:szCs w:val="22"/>
    </w:rPr>
  </w:style>
  <w:style w:type="character" w:styleId="IntenseEmphasis">
    <w:name w:val="Intense Emphasis"/>
    <w:basedOn w:val="DefaultParagraphFont"/>
    <w:uiPriority w:val="21"/>
    <w:qFormat/>
    <w:rsid w:val="00FD59B8"/>
    <w:rPr>
      <w:i/>
      <w:iCs/>
      <w:color w:val="0F4761" w:themeColor="accent1" w:themeShade="BF"/>
    </w:rPr>
  </w:style>
  <w:style w:type="paragraph" w:styleId="IntenseQuote">
    <w:name w:val="Intense Quote"/>
    <w:basedOn w:val="Normal"/>
    <w:next w:val="Normal"/>
    <w:link w:val="IntenseQuoteChar"/>
    <w:uiPriority w:val="30"/>
    <w:qFormat/>
    <w:rsid w:val="00FD59B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FD59B8"/>
    <w:rPr>
      <w:i/>
      <w:iCs/>
      <w:color w:val="0F4761" w:themeColor="accent1" w:themeShade="BF"/>
    </w:rPr>
  </w:style>
  <w:style w:type="character" w:styleId="IntenseReference">
    <w:name w:val="Intense Reference"/>
    <w:basedOn w:val="DefaultParagraphFont"/>
    <w:uiPriority w:val="32"/>
    <w:qFormat/>
    <w:rsid w:val="00FD59B8"/>
    <w:rPr>
      <w:b/>
      <w:bCs/>
      <w:smallCaps/>
      <w:color w:val="0F4761" w:themeColor="accent1" w:themeShade="BF"/>
      <w:spacing w:val="5"/>
    </w:rPr>
  </w:style>
  <w:style w:type="table" w:styleId="TableGrid">
    <w:name w:val="Table Grid"/>
    <w:basedOn w:val="TableNormal"/>
    <w:uiPriority w:val="39"/>
    <w:rsid w:val="00FD59B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Swann</dc:creator>
  <cp:keywords/>
  <dc:description/>
  <cp:lastModifiedBy>Marie Swann</cp:lastModifiedBy>
  <cp:revision>1</cp:revision>
  <dcterms:created xsi:type="dcterms:W3CDTF">2026-06-03T12:04:00Z</dcterms:created>
  <dcterms:modified xsi:type="dcterms:W3CDTF">2026-06-03T12:05:00Z</dcterms:modified>
</cp:coreProperties>
</file>